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054ED1" w:rsidRDefault="00CA61F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AE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</w:t>
                  </w:r>
                  <w:r>
                    <w:t>от 30.08.2021 №94</w:t>
                  </w:r>
                  <w:r w:rsidRPr="001F6F64"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AB0A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F6F64">
                    <w:rPr>
                      <w:sz w:val="24"/>
                      <w:szCs w:val="24"/>
                    </w:rPr>
                    <w:t>.2021 г</w:t>
                  </w:r>
                  <w:r w:rsidRPr="005F7C4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 xml:space="preserve">чебная практика </w:t>
      </w:r>
      <w:r w:rsidR="00D1730A">
        <w:rPr>
          <w:b/>
          <w:bCs/>
          <w:sz w:val="24"/>
          <w:szCs w:val="24"/>
        </w:rPr>
        <w:t>(технологическая</w:t>
      </w:r>
      <w:r w:rsidR="00A33428" w:rsidRPr="00054ED1">
        <w:rPr>
          <w:b/>
          <w:bCs/>
          <w:sz w:val="24"/>
          <w:szCs w:val="24"/>
        </w:rPr>
        <w:t>(</w:t>
      </w:r>
      <w:r w:rsidR="00387A43">
        <w:rPr>
          <w:b/>
          <w:bCs/>
          <w:sz w:val="24"/>
          <w:szCs w:val="24"/>
        </w:rPr>
        <w:t>проектно-технологическая</w:t>
      </w:r>
      <w:r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F8329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DF31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E58" w:rsidRPr="00750BA1" w:rsidRDefault="00306E58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06E58" w:rsidRPr="00750BA1" w:rsidRDefault="00306E58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6F64">
        <w:rPr>
          <w:rFonts w:eastAsia="SimSun"/>
          <w:kern w:val="2"/>
          <w:sz w:val="24"/>
          <w:szCs w:val="24"/>
          <w:lang w:eastAsia="hi-IN" w:bidi="hi-IN"/>
        </w:rPr>
        <w:t>на 2021-2022 учебный год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1F6F64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1F6F64">
        <w:rPr>
          <w:rFonts w:eastAsia="SimSun"/>
          <w:kern w:val="2"/>
          <w:sz w:val="24"/>
          <w:szCs w:val="24"/>
          <w:lang w:eastAsia="hi-IN" w:bidi="hi-IN"/>
        </w:rPr>
        <w:t>Омск, 2021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EB356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 2021г.  № 1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норматив</w:t>
      </w:r>
      <w:r w:rsidR="00EB3564">
        <w:rPr>
          <w:sz w:val="24"/>
          <w:szCs w:val="24"/>
        </w:rPr>
        <w:t>ными актами ЧУ</w:t>
      </w:r>
      <w:r w:rsidRPr="00054ED1">
        <w:rPr>
          <w:sz w:val="24"/>
          <w:szCs w:val="24"/>
        </w:rPr>
        <w:t>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 xml:space="preserve">- </w:t>
      </w:r>
      <w:r w:rsidR="009B24DE" w:rsidRPr="009B24DE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054ED1">
        <w:rPr>
          <w:sz w:val="24"/>
          <w:szCs w:val="24"/>
          <w:lang w:eastAsia="en-US"/>
        </w:rPr>
        <w:t xml:space="preserve">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F92877" w:rsidRPr="00F92877">
        <w:rPr>
          <w:sz w:val="24"/>
          <w:szCs w:val="24"/>
          <w:lang w:eastAsia="en-US"/>
        </w:rPr>
        <w:t>2021/2022</w:t>
      </w:r>
      <w:r w:rsidR="00F9287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учебный год,</w:t>
      </w:r>
      <w:r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EB3564">
        <w:rPr>
          <w:sz w:val="24"/>
          <w:szCs w:val="24"/>
          <w:lang w:eastAsia="en-US"/>
        </w:rPr>
        <w:t>от 30.08.2021 №94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форма обучения – заочная на </w:t>
      </w:r>
      <w:r w:rsidR="00F92877" w:rsidRPr="00F92877">
        <w:rPr>
          <w:sz w:val="24"/>
          <w:szCs w:val="24"/>
        </w:rPr>
        <w:t>2021/2022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EB3564">
        <w:rPr>
          <w:sz w:val="24"/>
          <w:szCs w:val="24"/>
          <w:lang w:eastAsia="en-US"/>
        </w:rPr>
        <w:t>от 30.08.2021 №94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794709">
        <w:rPr>
          <w:sz w:val="24"/>
          <w:szCs w:val="24"/>
        </w:rPr>
        <w:t xml:space="preserve"> </w:t>
      </w:r>
      <w:r w:rsidR="00EB3564">
        <w:rPr>
          <w:sz w:val="24"/>
          <w:szCs w:val="24"/>
        </w:rPr>
        <w:t>у</w:t>
      </w:r>
      <w:r w:rsidRPr="00054ED1">
        <w:rPr>
          <w:b/>
          <w:bCs/>
          <w:sz w:val="24"/>
          <w:szCs w:val="24"/>
        </w:rPr>
        <w:t xml:space="preserve">чебная 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в течение </w:t>
      </w:r>
      <w:r w:rsidR="00F92877" w:rsidRPr="00F92877">
        <w:rPr>
          <w:sz w:val="24"/>
          <w:szCs w:val="24"/>
        </w:rPr>
        <w:t>2021/2022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EB3564">
        <w:rPr>
          <w:sz w:val="24"/>
          <w:szCs w:val="24"/>
        </w:rPr>
        <w:t xml:space="preserve"> рабочую программу в течение 2021/2022</w:t>
      </w:r>
      <w:r w:rsidRPr="00054ED1">
        <w:rPr>
          <w:sz w:val="24"/>
          <w:szCs w:val="24"/>
        </w:rPr>
        <w:t xml:space="preserve"> 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D1730A">
        <w:rPr>
          <w:rFonts w:ascii="Times New Roman" w:hAnsi="Times New Roman"/>
          <w:b/>
          <w:sz w:val="24"/>
          <w:szCs w:val="24"/>
        </w:rPr>
        <w:t>Технологическая (п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учебной</w:t>
      </w:r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b/>
          <w:sz w:val="24"/>
          <w:szCs w:val="24"/>
        </w:rPr>
        <w:t>у</w:t>
      </w:r>
      <w:r w:rsidR="00EB3564" w:rsidRPr="008B61A1">
        <w:rPr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решению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мнениями,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преимущества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формировать собственные суждения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интерпретаций,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анализировать и выбирать информацию, необходимую для решения поставленной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формирует собственные суждения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рассуждениях других участников деятельности.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проектирования,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условиях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взаимосвязанных задач в рамках поставленной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(исследования,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результатов решения задач исследования, проекта,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достижения поставленной цели, определяет 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(учебную,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работает/взаимодействует,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коммуникации (учебную, деловую, неформальную и др</w:t>
            </w:r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достижения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другими членами команды, в т.ч. участвует в обмене информацией, знаниями и опытом, и презентации результатов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концептуальные положения и требования к организации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проектирования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общеобразовательных учреждениях, подходы к планированию образовательной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содержание школьного предмета «история»;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современные образовательные технологии, методические закономерности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частных методик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проектировать элементы образовательной программы, рабочую программу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реализовывать их в образовательном процессе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lastRenderedPageBreak/>
              <w:t xml:space="preserve">планировать,  моделировать и реализовывать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внеклассную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обосновывать выбор методов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 xml:space="preserve">умениями по планированию и проектированию  образовательного процесса;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современными образовательными технологиями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метапредметных и предметных результатов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методы и приемы контроля, оценивания и коррекции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обучающимся в зависимости от их способностей, образовательных возможностей и потребностей;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учащихся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осуществлять отбор учебного содержания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соответствии с дидактическими целями и возрастными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умениями отбора вариативного содержания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способы организации образовательной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организовывать различные виды деятельности обучающихся в образовательном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интереса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умениями по организации разных видов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>Способен участвовать в проектировании предметной среды образователь</w:t>
            </w:r>
            <w:r w:rsidRPr="001437A3">
              <w:rPr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lastRenderedPageBreak/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обосновывать и включать  разнообразные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социокультурной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умениями по проектированию элементов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 xml:space="preserve">Способен осуществлять деятельность по проектированию и реализации образовательного процесса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образовательных организациях основного общего и среднего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преподаваемый предмет  (историю) в пределах требований ФГОС  и основной общеобразовательной программы,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требования ФГОС основного общего и среднего общего образования, рабочую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 xml:space="preserve">, требования к образовательным результатам освоения основной образовательной программы обучающимися;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проведение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осуществлять педагогически обоснованный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итоговых результатов освоения основной образовательной программы обучающимися;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 xml:space="preserve">, в том числе выходящими за рамки учебных занятий: проектная деятельность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проектирования учебного процесса; способами и методами контроля и оценки образовательных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дополнительным образовательным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программно-методического обеспечения реализации дополнительной общеобразовательной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осуществлять деятельность, соответствующую программе дополнительного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контроль и оценку освоения дополнительной общеобразовательной программы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познавательного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формирования самоконтроля и само</w:t>
            </w:r>
            <w:r w:rsidRPr="00D440DF">
              <w:rPr>
                <w:szCs w:val="24"/>
              </w:rPr>
              <w:lastRenderedPageBreak/>
              <w:t>оценки учащимися процесса и результатов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</w:t>
      </w:r>
      <w:r w:rsidR="00EB3564" w:rsidRPr="008B61A1">
        <w:rPr>
          <w:rFonts w:ascii="Times New Roman" w:hAnsi="Times New Roman"/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>ой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практики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 xml:space="preserve">Учебная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EB3564">
        <w:rPr>
          <w:sz w:val="24"/>
          <w:szCs w:val="24"/>
        </w:rPr>
        <w:t>К.М.02</w:t>
      </w:r>
      <w:r w:rsidR="0098609E" w:rsidRPr="00054ED1">
        <w:rPr>
          <w:sz w:val="24"/>
          <w:szCs w:val="24"/>
        </w:rPr>
        <w:t>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EB3564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616934">
              <w:rPr>
                <w:bCs/>
                <w:sz w:val="24"/>
                <w:szCs w:val="24"/>
              </w:rPr>
              <w:t>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 xml:space="preserve">(технологическая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r w:rsidR="00D1730A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недели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ходе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color w:val="000000"/>
                <w:sz w:val="24"/>
                <w:szCs w:val="24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бщее знакомство с разделами комплекса школьных учебников по древнейшей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 xml:space="preserve">являющимся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бжд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 xml:space="preserve">Определение круга научной литературы,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 xml:space="preserve">. Рекомендуется 2-3 наименования по каждому из предметов модуля. Тщательное изучение избранной литературы и выделение информации, пригодной, по мнению студента, к использованию на уроках. Отбор информации и её группировка в </w:t>
            </w:r>
            <w:r w:rsidRPr="00573385">
              <w:rPr>
                <w:sz w:val="24"/>
                <w:szCs w:val="24"/>
              </w:rPr>
              <w:lastRenderedPageBreak/>
              <w:t>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каждого сформированного проблемно-информационного блока для уроков соответствующей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литературы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бакалавриата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организации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ознакомительная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>практической подготовке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процессе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Пустынникова</w:t>
            </w:r>
            <w:r>
              <w:t xml:space="preserve"> </w:t>
            </w:r>
            <w:r>
              <w:rPr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978-5-4486-0185-9.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B0AE2">
                <w:rPr>
                  <w:rStyle w:val="a6"/>
                </w:rPr>
                <w:t>http://www.iprbookshop.ru/71569.html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B0AE2">
                <w:rPr>
                  <w:rStyle w:val="a6"/>
                </w:rPr>
                <w:t>https://www.biblio-online.ru/bcode/437118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B0AE2">
                <w:rPr>
                  <w:rStyle w:val="a6"/>
                </w:rPr>
                <w:t>https://www.biblio-online.ru/bcode/446688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978-5-9916-5951-2.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B0AE2">
                <w:rPr>
                  <w:rStyle w:val="a6"/>
                </w:rPr>
                <w:t>https://www.biblio-online.ru/bcode/433563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Криницкая</w:t>
            </w:r>
            <w: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978-5-534-89561-2.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AB0AE2">
                <w:rPr>
                  <w:rStyle w:val="a6"/>
                </w:rPr>
                <w:t>https://www.biblio-online.ru/bcode/437130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Яскевич</w:t>
            </w:r>
            <w:r>
              <w:t xml:space="preserve"> </w:t>
            </w:r>
            <w:r>
              <w:rPr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978-5-534-05194-0.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AB0AE2">
                <w:rPr>
                  <w:rStyle w:val="a6"/>
                </w:rPr>
                <w:t>https://www.biblio-online.ru/bcode/421602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Шаповалов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978-5-534-09037-6.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AB0AE2">
                <w:rPr>
                  <w:rStyle w:val="a6"/>
                </w:rPr>
                <w:t>https://www.biblio-online.ru/bcode/434144</w:t>
              </w:r>
            </w:hyperlink>
            <w:r>
              <w:t xml:space="preserve"> </w:t>
            </w:r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AB0AE2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AB0AE2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AB0AE2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AB0AE2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AB0AE2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AB0AE2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AB0AE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054ED1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Выполнил(а):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</w:t>
      </w: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r>
        <w:t>Уч. степень, уч.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  <w:lang w:val="en-US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Б</w:t>
      </w:r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AB0AE2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В</w:t>
      </w:r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ОмГА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>
        <w:rPr>
          <w:color w:val="auto"/>
        </w:rPr>
        <w:t xml:space="preserve"> 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Заведующий кафедрой ППиСР: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( УЧЕБНАЯ</w:t>
      </w:r>
      <w:r>
        <w:t xml:space="preserve">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проходил(а)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г.Омск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16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r w:rsidR="00D1730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BD51F0">
        <w:rPr>
          <w:rFonts w:eastAsia="Times New Roman"/>
          <w:sz w:val="28"/>
          <w:szCs w:val="28"/>
        </w:rPr>
        <w:t>в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564" w:rsidRDefault="00EB3564" w:rsidP="00160BC1">
      <w:r>
        <w:separator/>
      </w:r>
    </w:p>
  </w:endnote>
  <w:endnote w:type="continuationSeparator" w:id="0">
    <w:p w:rsidR="00EB3564" w:rsidRDefault="00EB356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564" w:rsidRDefault="00EB3564" w:rsidP="00160BC1">
      <w:r>
        <w:separator/>
      </w:r>
    </w:p>
  </w:footnote>
  <w:footnote w:type="continuationSeparator" w:id="0">
    <w:p w:rsidR="00EB3564" w:rsidRDefault="00EB356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 w15:restartNumberingAfterBreak="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1473E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2D37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064A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0AE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A61FF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40DF"/>
    <w:rsid w:val="00D46C20"/>
    <w:rsid w:val="00D51146"/>
    <w:rsid w:val="00D6195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CA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23</Pages>
  <Words>10027</Words>
  <Characters>57159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67052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152</cp:revision>
  <cp:lastPrinted>2020-06-25T11:19:00Z</cp:lastPrinted>
  <dcterms:created xsi:type="dcterms:W3CDTF">2020-06-01T06:44:00Z</dcterms:created>
  <dcterms:modified xsi:type="dcterms:W3CDTF">2022-11-13T08:38:00Z</dcterms:modified>
</cp:coreProperties>
</file>